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115"/>
        <w:gridCol w:w="9965"/>
      </w:tblGrid>
      <w:tr>
        <w:tc>
          <w:tcPr>
            <w:tcW w:type="dxa" w:w="4680"/>
            <w:shd w:fill="1E3A5F"/>
          </w:tcPr>
          <w:p/>
        </w:tc>
        <w:tc>
          <w:tcPr>
            <w:tcW w:type="dxa" w:w="4680"/>
          </w:tcPr>
          <w:p>
            <w:r>
              <w:rPr>
                <w:rFonts w:ascii="Calibri" w:hAnsi="Calibri" w:eastAsian="Calibri"/>
                <w:b/>
                <w:i w:val="0"/>
                <w:color w:val="1E3A5F"/>
                <w:sz w:val="52"/>
              </w:rPr>
              <w:t>COGNIAGENT — GEO OPTIMIZATION REPORT</w:t>
            </w:r>
            <w:r>
              <w:rPr>
                <w:rFonts w:ascii="Calibri" w:hAnsi="Calibri" w:eastAsian="Calibri"/>
                <w:b w:val="0"/>
                <w:i w:val="0"/>
                <w:color w:val="6B7280"/>
                <w:sz w:val="26"/>
              </w:rPr>
              <w:br/>
              <w:t>No-Code AI Agent Platform  •  Search-Ready Rewrite</w:t>
            </w:r>
          </w:p>
        </w:tc>
      </w:tr>
    </w:tbl>
    <w:p>
      <w:pPr>
        <w:spacing w:before="60" w:after="20"/>
      </w:pPr>
      <w:r>
        <w:rPr>
          <w:rFonts w:ascii="Calibri" w:hAnsi="Calibri" w:eastAsian="Calibri"/>
          <w:b/>
          <w:i w:val="0"/>
          <w:color w:val="1E3A5F"/>
          <w:sz w:val="18"/>
        </w:rPr>
        <w:t xml:space="preserve">Slug: </w:t>
      </w:r>
      <w:r>
        <w:rPr>
          <w:rFonts w:ascii="Calibri" w:hAnsi="Calibri" w:eastAsian="Calibri"/>
          <w:b w:val="0"/>
          <w:i w:val="0"/>
          <w:color w:val="2C2C2C"/>
          <w:sz w:val="18"/>
        </w:rPr>
        <w:t>no-code-ai-agent-platform-cogniagent</w:t>
      </w:r>
    </w:p>
    <w:p>
      <w:pPr>
        <w:spacing w:before="60" w:after="20"/>
      </w:pPr>
      <w:r>
        <w:rPr>
          <w:rFonts w:ascii="Calibri" w:hAnsi="Calibri" w:eastAsian="Calibri"/>
          <w:b/>
          <w:i w:val="0"/>
          <w:color w:val="1E3A5F"/>
          <w:sz w:val="18"/>
        </w:rPr>
        <w:t xml:space="preserve">SEO Title: </w:t>
      </w:r>
      <w:r>
        <w:rPr>
          <w:rFonts w:ascii="Calibri" w:hAnsi="Calibri" w:eastAsian="Calibri"/>
          <w:b w:val="0"/>
          <w:i w:val="0"/>
          <w:color w:val="2C2C2C"/>
          <w:sz w:val="18"/>
        </w:rPr>
        <w:t>No-Code AI Agent Platform — CogniAgent</w:t>
      </w:r>
    </w:p>
    <w:p>
      <w:pPr>
        <w:spacing w:before="60" w:after="20"/>
      </w:pPr>
      <w:r>
        <w:rPr>
          <w:rFonts w:ascii="Calibri" w:hAnsi="Calibri" w:eastAsian="Calibri"/>
          <w:b/>
          <w:i w:val="0"/>
          <w:color w:val="1E3A5F"/>
          <w:sz w:val="18"/>
        </w:rPr>
        <w:t xml:space="preserve">Meta Description: </w:t>
      </w:r>
      <w:r>
        <w:rPr>
          <w:rFonts w:ascii="Calibri" w:hAnsi="Calibri" w:eastAsian="Calibri"/>
          <w:b w:val="0"/>
          <w:i w:val="0"/>
          <w:color w:val="2C2C2C"/>
          <w:sz w:val="18"/>
        </w:rPr>
        <w:t>Build conversational, autonomous AI agents in minutes with CogniAgent. No-code setup, 2700+ integrations, multi-agent collaboration, ready templates. Start free.</w:t>
      </w:r>
    </w:p>
    <w:p>
      <w:pPr>
        <w:spacing w:before="60" w:after="20"/>
      </w:pPr>
      <w:r>
        <w:rPr>
          <w:rFonts w:ascii="Calibri" w:hAnsi="Calibri" w:eastAsian="Calibri"/>
          <w:b/>
          <w:i w:val="0"/>
          <w:color w:val="1E3A5F"/>
          <w:sz w:val="18"/>
        </w:rPr>
        <w:t xml:space="preserve">H1 (rewritten): </w:t>
      </w:r>
      <w:r>
        <w:rPr>
          <w:rFonts w:ascii="Calibri" w:hAnsi="Calibri" w:eastAsian="Calibri"/>
          <w:b w:val="0"/>
          <w:i w:val="0"/>
          <w:color w:val="2C2C2C"/>
          <w:sz w:val="18"/>
        </w:rPr>
        <w:t>What Is a No-Code AI Agent Platform — and How Does CogniAgent Work?</w:t>
      </w:r>
    </w:p>
    <w:p>
      <w:pPr>
        <w:spacing w:before="60" w:after="20"/>
      </w:pPr>
      <w:r>
        <w:rPr>
          <w:rFonts w:ascii="Calibri" w:hAnsi="Calibri" w:eastAsian="Calibri"/>
          <w:b/>
          <w:i w:val="0"/>
          <w:color w:val="1E3A5F"/>
          <w:sz w:val="18"/>
        </w:rPr>
        <w:t xml:space="preserve">Primary Query: </w:t>
      </w:r>
      <w:r>
        <w:rPr>
          <w:rFonts w:ascii="Calibri" w:hAnsi="Calibri" w:eastAsian="Calibri"/>
          <w:b w:val="0"/>
          <w:i w:val="0"/>
          <w:color w:val="2C2C2C"/>
          <w:sz w:val="18"/>
        </w:rPr>
        <w:t>no-code AI agent builder</w:t>
      </w:r>
    </w:p>
    <w:p>
      <w:pPr>
        <w:spacing w:before="60" w:after="20"/>
      </w:pPr>
      <w:r>
        <w:rPr>
          <w:rFonts w:ascii="Calibri" w:hAnsi="Calibri" w:eastAsian="Calibri"/>
          <w:b/>
          <w:i w:val="0"/>
          <w:color w:val="1E3A5F"/>
          <w:sz w:val="18"/>
        </w:rPr>
        <w:t xml:space="preserve">Source URL: </w:t>
      </w:r>
      <w:r>
        <w:rPr>
          <w:rFonts w:ascii="Calibri" w:hAnsi="Calibri" w:eastAsian="Calibri"/>
          <w:b w:val="0"/>
          <w:i w:val="0"/>
          <w:color w:val="2C2C2C"/>
          <w:sz w:val="18"/>
        </w:rPr>
        <w:t>https://cogniagent.ai</w:t>
      </w:r>
    </w:p>
    <w:p>
      <w:pPr>
        <w:spacing w:before="60" w:after="20"/>
      </w:pPr>
      <w:r>
        <w:rPr>
          <w:rFonts w:ascii="Calibri" w:hAnsi="Calibri" w:eastAsian="Calibri"/>
          <w:b/>
          <w:i w:val="0"/>
          <w:color w:val="1E3A5F"/>
          <w:sz w:val="18"/>
        </w:rPr>
        <w:t xml:space="preserve">Optimization Date: </w:t>
      </w:r>
      <w:r>
        <w:rPr>
          <w:rFonts w:ascii="Calibri" w:hAnsi="Calibri" w:eastAsian="Calibri"/>
          <w:b w:val="0"/>
          <w:i w:val="0"/>
          <w:color w:val="2C2C2C"/>
          <w:sz w:val="18"/>
        </w:rPr>
        <w:t>2026-09-22</w:t>
      </w:r>
    </w:p>
    <w:p>
      <w:pPr>
        <w:spacing w:before="60" w:after="20"/>
      </w:pPr>
      <w:r>
        <w:rPr>
          <w:rFonts w:ascii="Calibri" w:hAnsi="Calibri" w:eastAsian="Calibri"/>
          <w:b/>
          <w:i w:val="0"/>
          <w:color w:val="1E3A5F"/>
          <w:sz w:val="18"/>
        </w:rPr>
        <w:t xml:space="preserve">Mode: </w:t>
      </w:r>
      <w:r>
        <w:rPr>
          <w:rFonts w:ascii="Calibri" w:hAnsi="Calibri" w:eastAsian="Calibri"/>
          <w:b w:val="0"/>
          <w:i w:val="0"/>
          <w:color w:val="2C2C2C"/>
          <w:sz w:val="18"/>
        </w:rPr>
        <w:t>URL (cached HTML)</w:t>
      </w:r>
    </w:p>
    <w:p>
      <w:pPr>
        <w:spacing w:before="360" w:after="120"/>
      </w:pPr>
      <w:r>
        <w:rPr>
          <w:rFonts w:ascii="Calibri" w:hAnsi="Calibri" w:eastAsian="Calibri"/>
          <w:b/>
          <w:i w:val="0"/>
          <w:color w:val="1E3A5F"/>
          <w:sz w:val="32"/>
        </w:rPr>
        <w:t>GEO SCORE SUMMARY</w:t>
      </w:r>
    </w:p>
    <w:tbl>
      <w:tblPr>
        <w:tblStyle w:val="TableGrid"/>
        <w:tblW w:type="auto" w:w="0"/>
        <w:tblLayout w:type="fixed"/>
        <w:tblLook w:firstColumn="1" w:firstRow="1" w:lastColumn="0" w:lastRow="0" w:noHBand="0" w:noVBand="1" w:val="04A0"/>
      </w:tblPr>
      <w:tblGrid>
        <w:gridCol w:w="3600"/>
        <w:gridCol w:w="1584"/>
        <w:gridCol w:w="1584"/>
        <w:gridCol w:w="1584"/>
      </w:tblGrid>
      <w:tr>
        <w:tc>
          <w:tcPr>
            <w:tcW w:type="dxa" w:w="2340"/>
            <w:shd w:fill="1E3A5F"/>
          </w:tcPr>
          <w:p>
            <w:pPr>
              <w:jc w:val="center"/>
            </w:pPr>
            <w:r>
              <w:rPr>
                <w:rFonts w:ascii="Calibri" w:hAnsi="Calibri" w:eastAsian="Calibri"/>
                <w:b/>
                <w:i w:val="0"/>
                <w:color w:val="FFFFFF"/>
                <w:sz w:val="18"/>
              </w:rPr>
              <w:t>Dimension</w:t>
            </w:r>
          </w:p>
        </w:tc>
        <w:tc>
          <w:tcPr>
            <w:tcW w:type="dxa" w:w="2340"/>
            <w:shd w:fill="1E3A5F"/>
          </w:tcPr>
          <w:p>
            <w:pPr>
              <w:jc w:val="center"/>
            </w:pPr>
            <w:r>
              <w:rPr>
                <w:rFonts w:ascii="Calibri" w:hAnsi="Calibri" w:eastAsian="Calibri"/>
                <w:b/>
                <w:i w:val="0"/>
                <w:color w:val="FFFFFF"/>
                <w:sz w:val="18"/>
              </w:rPr>
              <w:t>Before</w:t>
            </w:r>
          </w:p>
        </w:tc>
        <w:tc>
          <w:tcPr>
            <w:tcW w:type="dxa" w:w="2340"/>
            <w:shd w:fill="1E3A5F"/>
          </w:tcPr>
          <w:p>
            <w:pPr>
              <w:jc w:val="center"/>
            </w:pPr>
            <w:r>
              <w:rPr>
                <w:rFonts w:ascii="Calibri" w:hAnsi="Calibri" w:eastAsian="Calibri"/>
                <w:b/>
                <w:i w:val="0"/>
                <w:color w:val="FFFFFF"/>
                <w:sz w:val="18"/>
              </w:rPr>
              <w:t>After</w:t>
            </w:r>
          </w:p>
        </w:tc>
        <w:tc>
          <w:tcPr>
            <w:tcW w:type="dxa" w:w="2340"/>
            <w:shd w:fill="1E3A5F"/>
          </w:tcPr>
          <w:p>
            <w:pPr>
              <w:jc w:val="center"/>
            </w:pPr>
            <w:r>
              <w:rPr>
                <w:rFonts w:ascii="Calibri" w:hAnsi="Calibri" w:eastAsian="Calibri"/>
                <w:b/>
                <w:i w:val="0"/>
                <w:color w:val="FFFFFF"/>
                <w:sz w:val="18"/>
              </w:rPr>
              <w:t>Δ</w:t>
            </w:r>
          </w:p>
        </w:tc>
      </w:tr>
      <w:tr>
        <w:tc>
          <w:tcPr>
            <w:tcW w:type="dxa" w:w="2340"/>
            <w:shd w:fill="F7F9FB"/>
          </w:tcPr>
          <w:p>
            <w:pPr>
              <w:jc w:val="center"/>
            </w:pPr>
            <w:r>
              <w:rPr>
                <w:rFonts w:ascii="Calibri" w:hAnsi="Calibri" w:eastAsian="Calibri"/>
                <w:b w:val="0"/>
                <w:i w:val="0"/>
                <w:color w:val="000000"/>
                <w:sz w:val="18"/>
              </w:rPr>
              <w:t>Answer-First Structure</w:t>
            </w:r>
          </w:p>
        </w:tc>
        <w:tc>
          <w:tcPr>
            <w:tcW w:type="dxa" w:w="2340"/>
            <w:shd w:fill="F7F9FB"/>
          </w:tcPr>
          <w:p>
            <w:pPr>
              <w:jc w:val="center"/>
            </w:pPr>
            <w:r>
              <w:rPr>
                <w:rFonts w:ascii="Calibri" w:hAnsi="Calibri" w:eastAsian="Calibri"/>
                <w:b w:val="0"/>
                <w:i w:val="0"/>
                <w:color w:val="000000"/>
                <w:sz w:val="18"/>
              </w:rPr>
              <w:t>6 / 20</w:t>
            </w:r>
          </w:p>
        </w:tc>
        <w:tc>
          <w:tcPr>
            <w:tcW w:type="dxa" w:w="2340"/>
            <w:shd w:fill="F7F9FB"/>
          </w:tcPr>
          <w:p>
            <w:pPr>
              <w:jc w:val="center"/>
            </w:pPr>
            <w:r>
              <w:rPr>
                <w:rFonts w:ascii="Calibri" w:hAnsi="Calibri" w:eastAsian="Calibri"/>
                <w:b w:val="0"/>
                <w:i w:val="0"/>
                <w:color w:val="000000"/>
                <w:sz w:val="18"/>
              </w:rPr>
              <w:t>16 / 20</w:t>
            </w:r>
          </w:p>
        </w:tc>
        <w:tc>
          <w:tcPr>
            <w:tcW w:type="dxa" w:w="2340"/>
            <w:shd w:fill="F7F9FB"/>
          </w:tcPr>
          <w:p>
            <w:pPr>
              <w:jc w:val="center"/>
            </w:pPr>
            <w:r>
              <w:rPr>
                <w:rFonts w:ascii="Calibri" w:hAnsi="Calibri" w:eastAsian="Calibri"/>
                <w:b/>
                <w:i w:val="0"/>
                <w:color w:val="065F46"/>
                <w:sz w:val="18"/>
              </w:rPr>
              <w:t>+10</w:t>
            </w:r>
          </w:p>
        </w:tc>
      </w:tr>
      <w:tr>
        <w:tc>
          <w:tcPr>
            <w:tcW w:type="dxa" w:w="2340"/>
            <w:shd w:fill="F7F9FB"/>
          </w:tcPr>
          <w:p>
            <w:pPr>
              <w:jc w:val="center"/>
            </w:pPr>
            <w:r>
              <w:rPr>
                <w:rFonts w:ascii="Calibri" w:hAnsi="Calibri" w:eastAsian="Calibri"/>
                <w:b w:val="0"/>
                <w:i w:val="0"/>
                <w:color w:val="000000"/>
                <w:sz w:val="18"/>
              </w:rPr>
              <w:t>Heading Quality</w:t>
            </w:r>
          </w:p>
        </w:tc>
        <w:tc>
          <w:tcPr>
            <w:tcW w:type="dxa" w:w="2340"/>
            <w:shd w:fill="F7F9FB"/>
          </w:tcPr>
          <w:p>
            <w:pPr>
              <w:jc w:val="center"/>
            </w:pPr>
            <w:r>
              <w:rPr>
                <w:rFonts w:ascii="Calibri" w:hAnsi="Calibri" w:eastAsian="Calibri"/>
                <w:b w:val="0"/>
                <w:i w:val="0"/>
                <w:color w:val="000000"/>
                <w:sz w:val="18"/>
              </w:rPr>
              <w:t>8 / 20</w:t>
            </w:r>
          </w:p>
        </w:tc>
        <w:tc>
          <w:tcPr>
            <w:tcW w:type="dxa" w:w="2340"/>
            <w:shd w:fill="F7F9FB"/>
          </w:tcPr>
          <w:p>
            <w:pPr>
              <w:jc w:val="center"/>
            </w:pPr>
            <w:r>
              <w:rPr>
                <w:rFonts w:ascii="Calibri" w:hAnsi="Calibri" w:eastAsian="Calibri"/>
                <w:b w:val="0"/>
                <w:i w:val="0"/>
                <w:color w:val="000000"/>
                <w:sz w:val="18"/>
              </w:rPr>
              <w:t>15 / 20</w:t>
            </w:r>
          </w:p>
        </w:tc>
        <w:tc>
          <w:tcPr>
            <w:tcW w:type="dxa" w:w="2340"/>
            <w:shd w:fill="F7F9FB"/>
          </w:tcPr>
          <w:p>
            <w:pPr>
              <w:jc w:val="center"/>
            </w:pPr>
            <w:r>
              <w:rPr>
                <w:rFonts w:ascii="Calibri" w:hAnsi="Calibri" w:eastAsian="Calibri"/>
                <w:b/>
                <w:i w:val="0"/>
                <w:color w:val="065F46"/>
                <w:sz w:val="18"/>
              </w:rPr>
              <w:t>+7</w:t>
            </w:r>
          </w:p>
        </w:tc>
      </w:tr>
      <w:tr>
        <w:tc>
          <w:tcPr>
            <w:tcW w:type="dxa" w:w="2340"/>
            <w:shd w:fill="F7F9FB"/>
          </w:tcPr>
          <w:p>
            <w:pPr>
              <w:jc w:val="center"/>
            </w:pPr>
            <w:r>
              <w:rPr>
                <w:rFonts w:ascii="Calibri" w:hAnsi="Calibri" w:eastAsian="Calibri"/>
                <w:b w:val="0"/>
                <w:i w:val="0"/>
                <w:color w:val="000000"/>
                <w:sz w:val="18"/>
              </w:rPr>
              <w:t>Chunkability</w:t>
            </w:r>
          </w:p>
        </w:tc>
        <w:tc>
          <w:tcPr>
            <w:tcW w:type="dxa" w:w="2340"/>
            <w:shd w:fill="F7F9FB"/>
          </w:tcPr>
          <w:p>
            <w:pPr>
              <w:jc w:val="center"/>
            </w:pPr>
            <w:r>
              <w:rPr>
                <w:rFonts w:ascii="Calibri" w:hAnsi="Calibri" w:eastAsian="Calibri"/>
                <w:b w:val="0"/>
                <w:i w:val="0"/>
                <w:color w:val="000000"/>
                <w:sz w:val="18"/>
              </w:rPr>
              <w:t>9 / 20</w:t>
            </w:r>
          </w:p>
        </w:tc>
        <w:tc>
          <w:tcPr>
            <w:tcW w:type="dxa" w:w="2340"/>
            <w:shd w:fill="F7F9FB"/>
          </w:tcPr>
          <w:p>
            <w:pPr>
              <w:jc w:val="center"/>
            </w:pPr>
            <w:r>
              <w:rPr>
                <w:rFonts w:ascii="Calibri" w:hAnsi="Calibri" w:eastAsian="Calibri"/>
                <w:b w:val="0"/>
                <w:i w:val="0"/>
                <w:color w:val="000000"/>
                <w:sz w:val="18"/>
              </w:rPr>
              <w:t>14 / 20</w:t>
            </w:r>
          </w:p>
        </w:tc>
        <w:tc>
          <w:tcPr>
            <w:tcW w:type="dxa" w:w="2340"/>
            <w:shd w:fill="F7F9FB"/>
          </w:tcPr>
          <w:p>
            <w:pPr>
              <w:jc w:val="center"/>
            </w:pPr>
            <w:r>
              <w:rPr>
                <w:rFonts w:ascii="Calibri" w:hAnsi="Calibri" w:eastAsian="Calibri"/>
                <w:b/>
                <w:i w:val="0"/>
                <w:color w:val="065F46"/>
                <w:sz w:val="18"/>
              </w:rPr>
              <w:t>+5</w:t>
            </w:r>
          </w:p>
        </w:tc>
      </w:tr>
      <w:tr>
        <w:tc>
          <w:tcPr>
            <w:tcW w:type="dxa" w:w="2340"/>
            <w:shd w:fill="F7F9FB"/>
          </w:tcPr>
          <w:p>
            <w:pPr>
              <w:jc w:val="center"/>
            </w:pPr>
            <w:r>
              <w:rPr>
                <w:rFonts w:ascii="Calibri" w:hAnsi="Calibri" w:eastAsian="Calibri"/>
                <w:b w:val="0"/>
                <w:i w:val="0"/>
                <w:color w:val="000000"/>
                <w:sz w:val="18"/>
              </w:rPr>
              <w:t>Citation Signals</w:t>
            </w:r>
          </w:p>
        </w:tc>
        <w:tc>
          <w:tcPr>
            <w:tcW w:type="dxa" w:w="2340"/>
            <w:shd w:fill="F7F9FB"/>
          </w:tcPr>
          <w:p>
            <w:pPr>
              <w:jc w:val="center"/>
            </w:pPr>
            <w:r>
              <w:rPr>
                <w:rFonts w:ascii="Calibri" w:hAnsi="Calibri" w:eastAsian="Calibri"/>
                <w:b w:val="0"/>
                <w:i w:val="0"/>
                <w:color w:val="000000"/>
                <w:sz w:val="18"/>
              </w:rPr>
              <w:t>10 / 20</w:t>
            </w:r>
          </w:p>
        </w:tc>
        <w:tc>
          <w:tcPr>
            <w:tcW w:type="dxa" w:w="2340"/>
            <w:shd w:fill="F7F9FB"/>
          </w:tcPr>
          <w:p>
            <w:pPr>
              <w:jc w:val="center"/>
            </w:pPr>
            <w:r>
              <w:rPr>
                <w:rFonts w:ascii="Calibri" w:hAnsi="Calibri" w:eastAsian="Calibri"/>
                <w:b w:val="0"/>
                <w:i w:val="0"/>
                <w:color w:val="000000"/>
                <w:sz w:val="18"/>
              </w:rPr>
              <w:t>17 / 20</w:t>
            </w:r>
          </w:p>
        </w:tc>
        <w:tc>
          <w:tcPr>
            <w:tcW w:type="dxa" w:w="2340"/>
            <w:shd w:fill="F7F9FB"/>
          </w:tcPr>
          <w:p>
            <w:pPr>
              <w:jc w:val="center"/>
            </w:pPr>
            <w:r>
              <w:rPr>
                <w:rFonts w:ascii="Calibri" w:hAnsi="Calibri" w:eastAsian="Calibri"/>
                <w:b/>
                <w:i w:val="0"/>
                <w:color w:val="065F46"/>
                <w:sz w:val="18"/>
              </w:rPr>
              <w:t>+7</w:t>
            </w:r>
          </w:p>
        </w:tc>
      </w:tr>
      <w:tr>
        <w:tc>
          <w:tcPr>
            <w:tcW w:type="dxa" w:w="2340"/>
            <w:shd w:fill="F7F9FB"/>
          </w:tcPr>
          <w:p>
            <w:pPr>
              <w:jc w:val="center"/>
            </w:pPr>
            <w:r>
              <w:rPr>
                <w:rFonts w:ascii="Calibri" w:hAnsi="Calibri" w:eastAsian="Calibri"/>
                <w:b w:val="0"/>
                <w:i w:val="0"/>
                <w:color w:val="000000"/>
                <w:sz w:val="18"/>
              </w:rPr>
              <w:t>FAQ &amp; Formats</w:t>
            </w:r>
          </w:p>
        </w:tc>
        <w:tc>
          <w:tcPr>
            <w:tcW w:type="dxa" w:w="2340"/>
            <w:shd w:fill="F7F9FB"/>
          </w:tcPr>
          <w:p>
            <w:pPr>
              <w:jc w:val="center"/>
            </w:pPr>
            <w:r>
              <w:rPr>
                <w:rFonts w:ascii="Calibri" w:hAnsi="Calibri" w:eastAsian="Calibri"/>
                <w:b w:val="0"/>
                <w:i w:val="0"/>
                <w:color w:val="000000"/>
                <w:sz w:val="18"/>
              </w:rPr>
              <w:t>9 / 20</w:t>
            </w:r>
          </w:p>
        </w:tc>
        <w:tc>
          <w:tcPr>
            <w:tcW w:type="dxa" w:w="2340"/>
            <w:shd w:fill="F7F9FB"/>
          </w:tcPr>
          <w:p>
            <w:pPr>
              <w:jc w:val="center"/>
            </w:pPr>
            <w:r>
              <w:rPr>
                <w:rFonts w:ascii="Calibri" w:hAnsi="Calibri" w:eastAsian="Calibri"/>
                <w:b w:val="0"/>
                <w:i w:val="0"/>
                <w:color w:val="000000"/>
                <w:sz w:val="18"/>
              </w:rPr>
              <w:t>16 / 20</w:t>
            </w:r>
          </w:p>
        </w:tc>
        <w:tc>
          <w:tcPr>
            <w:tcW w:type="dxa" w:w="2340"/>
            <w:shd w:fill="F7F9FB"/>
          </w:tcPr>
          <w:p>
            <w:pPr>
              <w:jc w:val="center"/>
            </w:pPr>
            <w:r>
              <w:rPr>
                <w:rFonts w:ascii="Calibri" w:hAnsi="Calibri" w:eastAsian="Calibri"/>
                <w:b/>
                <w:i w:val="0"/>
                <w:color w:val="065F46"/>
                <w:sz w:val="18"/>
              </w:rPr>
              <w:t>+7</w:t>
            </w:r>
          </w:p>
        </w:tc>
      </w:tr>
      <w:tr>
        <w:tc>
          <w:tcPr>
            <w:tcW w:type="dxa" w:w="3600"/>
            <w:shd w:fill="E8EEF4"/>
          </w:tcPr>
          <w:p>
            <w:pPr>
              <w:jc w:val="center"/>
            </w:pPr>
            <w:r>
              <w:rPr>
                <w:rFonts w:ascii="Calibri" w:hAnsi="Calibri" w:eastAsian="Calibri"/>
                <w:b/>
                <w:i w:val="0"/>
                <w:color w:val="1E3A5F"/>
                <w:sz w:val="20"/>
              </w:rPr>
              <w:t>TOTAL GEO SCORE</w:t>
            </w:r>
          </w:p>
        </w:tc>
        <w:tc>
          <w:tcPr>
            <w:tcW w:type="dxa" w:w="1584"/>
            <w:shd w:fill="E8EEF4"/>
          </w:tcPr>
          <w:p>
            <w:pPr>
              <w:jc w:val="center"/>
            </w:pPr>
            <w:r>
              <w:rPr>
                <w:rFonts w:ascii="Calibri" w:hAnsi="Calibri" w:eastAsian="Calibri"/>
                <w:b/>
                <w:i w:val="0"/>
                <w:color w:val="1E3A5F"/>
                <w:sz w:val="20"/>
              </w:rPr>
              <w:t>42 / 100</w:t>
            </w:r>
          </w:p>
        </w:tc>
        <w:tc>
          <w:tcPr>
            <w:tcW w:type="dxa" w:w="1584"/>
            <w:shd w:fill="E8EEF4"/>
          </w:tcPr>
          <w:p>
            <w:pPr>
              <w:jc w:val="center"/>
            </w:pPr>
            <w:r>
              <w:rPr>
                <w:rFonts w:ascii="Calibri" w:hAnsi="Calibri" w:eastAsian="Calibri"/>
                <w:b/>
                <w:i w:val="0"/>
                <w:color w:val="1E3A5F"/>
                <w:sz w:val="20"/>
              </w:rPr>
              <w:t>78 / 100</w:t>
            </w:r>
          </w:p>
        </w:tc>
        <w:tc>
          <w:tcPr>
            <w:tcW w:type="dxa" w:w="1584"/>
            <w:shd w:fill="E8EEF4"/>
          </w:tcPr>
          <w:p>
            <w:pPr>
              <w:jc w:val="center"/>
            </w:pPr>
            <w:r>
              <w:rPr>
                <w:rFonts w:ascii="Calibri" w:hAnsi="Calibri" w:eastAsian="Calibri"/>
                <w:b/>
                <w:i w:val="0"/>
                <w:color w:val="1E3A5F"/>
                <w:sz w:val="20"/>
              </w:rPr>
              <w:t>+36</w:t>
            </w:r>
          </w:p>
        </w:tc>
      </w:tr>
    </w:tbl>
    <w:p>
      <w:r>
        <w:br w:type="page"/>
      </w:r>
    </w:p>
    <w:p>
      <w:pPr>
        <w:pStyle w:val="Heading1"/>
      </w:pPr>
      <w:r>
        <w:rPr>
          <w:rFonts w:ascii="Calibri" w:hAnsi="Calibri"/>
          <w:b/>
          <w:color w:val="1E3A5F"/>
          <w:sz w:val="52"/>
        </w:rPr>
        <w:t>No-Code AI Agent Platform: How CogniAgent Lets You Build Conversational, Autonomous Agents in Minutes</w:t>
      </w:r>
    </w:p>
    <w:p>
      <w:r>
        <w:rPr>
          <w:rFonts w:ascii="Calibri" w:hAnsi="Calibri" w:eastAsian="Calibri"/>
          <w:b w:val="0"/>
          <w:i/>
          <w:color w:val="6B7280"/>
          <w:sz w:val="20"/>
        </w:rPr>
        <w:t>Optimized for AI search visibility  •  Primary query: "no-code AI agent builder"  •  Source: cogniagent.ai</w:t>
      </w:r>
    </w:p>
    <w:p>
      <w:r>
        <w:rPr>
          <w:color w:val="E5E7EB"/>
          <w:sz w:val="16"/>
        </w:rPr>
        <w:t>________________________________________________________________________________</w:t>
      </w:r>
    </w:p>
    <w:p>
      <w:pPr>
        <w:pStyle w:val="Heading2"/>
      </w:pPr>
      <w:r>
        <w:rPr>
          <w:rFonts w:ascii="Calibri" w:hAnsi="Calibri"/>
          <w:color w:val="1E3A5F"/>
          <w:sz w:val="36"/>
        </w:rPr>
        <w:t>What Is a No-Code AI Agent Platform?</w:t>
      </w:r>
    </w:p>
    <w:p>
      <w:r>
        <w:rPr>
          <w:rFonts w:ascii="Calibri" w:hAnsi="Calibri" w:eastAsian="Calibri"/>
          <w:b w:val="0"/>
          <w:i w:val="0"/>
          <w:color w:val="2C2C2C"/>
          <w:sz w:val="22"/>
        </w:rPr>
        <w:t>CogniAgent is a no-code AI agent platform that lets businesses build conversational, autonomous, and cognitive AI agents in minutes — with 2,700+ integrations, ready-to-use templates, and multi-agent collaboration on a single canvas. It eliminates the gap between basic chatbots and full workflow automation by combining conversational AI, autonomous execution, and cognitive reasoning in one event-driven environment.</w:t>
      </w:r>
    </w:p>
    <w:p>
      <w:r>
        <w:rPr>
          <w:rFonts w:ascii="Calibri" w:hAnsi="Calibri" w:eastAsian="Calibri"/>
          <w:b w:val="0"/>
          <w:i w:val="0"/>
          <w:color w:val="2C2C2C"/>
          <w:sz w:val="22"/>
        </w:rPr>
        <w:t>Founded for business use, CogniAgent provides a free tier with pay-as-you-go scaling. The platform supports customer support, sales qualification, marketing automation, ERP navigation, call-center automation, multi-agent collaboration, and conversational commerce — all without requiring engineering resources.</w:t>
      </w:r>
    </w:p>
    <w:p>
      <w:pPr>
        <w:pStyle w:val="Heading2"/>
      </w:pPr>
      <w:r>
        <w:rPr>
          <w:rFonts w:ascii="Calibri" w:hAnsi="Calibri"/>
          <w:color w:val="1E3A5F"/>
          <w:sz w:val="36"/>
        </w:rPr>
        <w:t>What Are CogniAgent’s Core Capabilities?</w:t>
      </w:r>
    </w:p>
    <w:tbl>
      <w:tblPr>
        <w:tblStyle w:val="TableGrid"/>
        <w:tblW w:type="auto" w:w="0"/>
        <w:tblLayout w:type="fixed"/>
        <w:tblLook w:firstColumn="1" w:firstRow="1" w:lastColumn="0" w:lastRow="0" w:noHBand="0" w:noVBand="1" w:val="04A0"/>
      </w:tblPr>
      <w:tblGrid>
        <w:gridCol w:w="3168"/>
        <w:gridCol w:w="3456"/>
        <w:gridCol w:w="3168"/>
      </w:tblGrid>
      <w:tr>
        <w:tc>
          <w:tcPr>
            <w:tcW w:type="dxa" w:w="3120"/>
            <w:shd w:fill="1E3A5F"/>
          </w:tcPr>
          <w:p>
            <w:pPr>
              <w:jc w:val="center"/>
            </w:pPr>
            <w:r>
              <w:rPr>
                <w:rFonts w:ascii="Calibri" w:hAnsi="Calibri" w:eastAsian="Calibri"/>
                <w:b/>
                <w:i w:val="0"/>
                <w:color w:val="FFFFFF"/>
                <w:sz w:val="18"/>
              </w:rPr>
              <w:t>Capability</w:t>
            </w:r>
          </w:p>
        </w:tc>
        <w:tc>
          <w:tcPr>
            <w:tcW w:type="dxa" w:w="3120"/>
            <w:shd w:fill="1E3A5F"/>
          </w:tcPr>
          <w:p>
            <w:pPr>
              <w:jc w:val="center"/>
            </w:pPr>
            <w:r>
              <w:rPr>
                <w:rFonts w:ascii="Calibri" w:hAnsi="Calibri" w:eastAsian="Calibri"/>
                <w:b/>
                <w:i w:val="0"/>
                <w:color w:val="FFFFFF"/>
                <w:sz w:val="18"/>
              </w:rPr>
              <w:t>What It Does</w:t>
            </w:r>
          </w:p>
        </w:tc>
        <w:tc>
          <w:tcPr>
            <w:tcW w:type="dxa" w:w="3120"/>
            <w:shd w:fill="1E3A5F"/>
          </w:tcPr>
          <w:p>
            <w:pPr>
              <w:jc w:val="center"/>
            </w:pPr>
            <w:r>
              <w:rPr>
                <w:rFonts w:ascii="Calibri" w:hAnsi="Calibri" w:eastAsian="Calibri"/>
                <w:b/>
                <w:i w:val="0"/>
                <w:color w:val="FFFFFF"/>
                <w:sz w:val="18"/>
              </w:rPr>
              <w:t>Business Impact</w:t>
            </w:r>
          </w:p>
        </w:tc>
      </w:tr>
      <w:tr>
        <w:tc>
          <w:tcPr>
            <w:tcW w:type="dxa" w:w="3168"/>
            <w:shd w:fill="F7F9FB"/>
          </w:tcPr>
          <w:p>
            <w:r>
              <w:rPr>
                <w:rFonts w:ascii="Calibri" w:hAnsi="Calibri" w:eastAsian="Calibri"/>
                <w:b/>
                <w:i w:val="0"/>
                <w:color w:val="2C2C2C"/>
                <w:sz w:val="18"/>
              </w:rPr>
              <w:t>No-Code Builder</w:t>
            </w:r>
          </w:p>
        </w:tc>
        <w:tc>
          <w:tcPr>
            <w:tcW w:type="dxa" w:w="3456"/>
            <w:shd w:fill="F7F9FB"/>
          </w:tcPr>
          <w:p>
            <w:r>
              <w:rPr>
                <w:rFonts w:ascii="Calibri" w:hAnsi="Calibri" w:eastAsian="Calibri"/>
                <w:b w:val="0"/>
                <w:i w:val="0"/>
                <w:color w:val="2C2C2C"/>
                <w:sz w:val="18"/>
              </w:rPr>
              <w:t>Visual template-based agent setup</w:t>
            </w:r>
          </w:p>
        </w:tc>
        <w:tc>
          <w:tcPr>
            <w:tcW w:type="dxa" w:w="3168"/>
            <w:shd w:fill="F7F9FB"/>
          </w:tcPr>
          <w:p>
            <w:r>
              <w:rPr>
                <w:rFonts w:ascii="Calibri" w:hAnsi="Calibri" w:eastAsian="Calibri"/>
                <w:b w:val="0"/>
                <w:i w:val="0"/>
                <w:color w:val="2C2C2C"/>
                <w:sz w:val="18"/>
              </w:rPr>
              <w:t>Deploy in minutes; no developers needed</w:t>
            </w:r>
          </w:p>
        </w:tc>
      </w:tr>
      <w:tr>
        <w:tc>
          <w:tcPr>
            <w:tcW w:type="dxa" w:w="3168"/>
            <w:shd w:fill="F7F9FB"/>
          </w:tcPr>
          <w:p>
            <w:r>
              <w:rPr>
                <w:rFonts w:ascii="Calibri" w:hAnsi="Calibri" w:eastAsian="Calibri"/>
                <w:b/>
                <w:i w:val="0"/>
                <w:color w:val="2C2C2C"/>
                <w:sz w:val="18"/>
              </w:rPr>
              <w:t>Multi-Agent Collaboration</w:t>
            </w:r>
          </w:p>
        </w:tc>
        <w:tc>
          <w:tcPr>
            <w:tcW w:type="dxa" w:w="3456"/>
            <w:shd w:fill="F7F9FB"/>
          </w:tcPr>
          <w:p>
            <w:r>
              <w:rPr>
                <w:rFonts w:ascii="Calibri" w:hAnsi="Calibri" w:eastAsian="Calibri"/>
                <w:b w:val="0"/>
                <w:i w:val="0"/>
                <w:color w:val="2C2C2C"/>
                <w:sz w:val="18"/>
              </w:rPr>
              <w:t>Agents share context across functions</w:t>
            </w:r>
          </w:p>
        </w:tc>
        <w:tc>
          <w:tcPr>
            <w:tcW w:type="dxa" w:w="3168"/>
            <w:shd w:fill="F7F9FB"/>
          </w:tcPr>
          <w:p>
            <w:r>
              <w:rPr>
                <w:rFonts w:ascii="Calibri" w:hAnsi="Calibri" w:eastAsian="Calibri"/>
                <w:b w:val="0"/>
                <w:i w:val="0"/>
                <w:color w:val="2C2C2C"/>
                <w:sz w:val="18"/>
              </w:rPr>
              <w:t>Up to 40% faster resolution for cross-functional queries</w:t>
            </w:r>
          </w:p>
        </w:tc>
      </w:tr>
      <w:tr>
        <w:tc>
          <w:tcPr>
            <w:tcW w:type="dxa" w:w="3168"/>
            <w:shd w:fill="F7F9FB"/>
          </w:tcPr>
          <w:p>
            <w:r>
              <w:rPr>
                <w:rFonts w:ascii="Calibri" w:hAnsi="Calibri" w:eastAsian="Calibri"/>
                <w:b/>
                <w:i w:val="0"/>
                <w:color w:val="2C2C2C"/>
                <w:sz w:val="18"/>
              </w:rPr>
              <w:t>Cognitive AI</w:t>
            </w:r>
          </w:p>
        </w:tc>
        <w:tc>
          <w:tcPr>
            <w:tcW w:type="dxa" w:w="3456"/>
            <w:shd w:fill="F7F9FB"/>
          </w:tcPr>
          <w:p>
            <w:r>
              <w:rPr>
                <w:rFonts w:ascii="Calibri" w:hAnsi="Calibri" w:eastAsian="Calibri"/>
                <w:b w:val="0"/>
                <w:i w:val="0"/>
                <w:color w:val="2C2C2C"/>
                <w:sz w:val="18"/>
              </w:rPr>
              <w:t>Context-aware reasoning and autonomous decisions</w:t>
            </w:r>
          </w:p>
        </w:tc>
        <w:tc>
          <w:tcPr>
            <w:tcW w:type="dxa" w:w="3168"/>
            <w:shd w:fill="F7F9FB"/>
          </w:tcPr>
          <w:p>
            <w:r>
              <w:rPr>
                <w:rFonts w:ascii="Calibri" w:hAnsi="Calibri" w:eastAsian="Calibri"/>
                <w:b w:val="0"/>
                <w:i w:val="0"/>
                <w:color w:val="2C2C2C"/>
                <w:sz w:val="18"/>
              </w:rPr>
              <w:t>Reduces manual oversight for routine workflows</w:t>
            </w:r>
          </w:p>
        </w:tc>
      </w:tr>
      <w:tr>
        <w:tc>
          <w:tcPr>
            <w:tcW w:type="dxa" w:w="3168"/>
            <w:shd w:fill="F7F9FB"/>
          </w:tcPr>
          <w:p>
            <w:r>
              <w:rPr>
                <w:rFonts w:ascii="Calibri" w:hAnsi="Calibri" w:eastAsian="Calibri"/>
                <w:b/>
                <w:i w:val="0"/>
                <w:color w:val="2C2C2C"/>
                <w:sz w:val="18"/>
              </w:rPr>
              <w:t>2,700+ Integrations</w:t>
            </w:r>
          </w:p>
        </w:tc>
        <w:tc>
          <w:tcPr>
            <w:tcW w:type="dxa" w:w="3456"/>
            <w:shd w:fill="F7F9FB"/>
          </w:tcPr>
          <w:p>
            <w:r>
              <w:rPr>
                <w:rFonts w:ascii="Calibri" w:hAnsi="Calibri" w:eastAsian="Calibri"/>
                <w:b w:val="0"/>
                <w:i w:val="0"/>
                <w:color w:val="2C2C2C"/>
                <w:sz w:val="18"/>
              </w:rPr>
              <w:t>Event-driven connections to CRM, ERP, e-commerce, helpdesk</w:t>
            </w:r>
          </w:p>
        </w:tc>
        <w:tc>
          <w:tcPr>
            <w:tcW w:type="dxa" w:w="3168"/>
            <w:shd w:fill="F7F9FB"/>
          </w:tcPr>
          <w:p>
            <w:r>
              <w:rPr>
                <w:rFonts w:ascii="Calibri" w:hAnsi="Calibri" w:eastAsian="Calibri"/>
                <w:b w:val="0"/>
                <w:i w:val="0"/>
                <w:color w:val="2C2C2C"/>
                <w:sz w:val="18"/>
              </w:rPr>
              <w:t>Eliminates data silos between systems</w:t>
            </w:r>
          </w:p>
        </w:tc>
      </w:tr>
      <w:tr>
        <w:tc>
          <w:tcPr>
            <w:tcW w:type="dxa" w:w="3168"/>
            <w:shd w:fill="F7F9FB"/>
          </w:tcPr>
          <w:p>
            <w:r>
              <w:rPr>
                <w:rFonts w:ascii="Calibri" w:hAnsi="Calibri" w:eastAsian="Calibri"/>
                <w:b/>
                <w:i w:val="0"/>
                <w:color w:val="2C2C2C"/>
                <w:sz w:val="18"/>
              </w:rPr>
              <w:t>Free Tier + Pay-As-You-Go</w:t>
            </w:r>
          </w:p>
        </w:tc>
        <w:tc>
          <w:tcPr>
            <w:tcW w:type="dxa" w:w="3456"/>
            <w:shd w:fill="F7F9FB"/>
          </w:tcPr>
          <w:p>
            <w:r>
              <w:rPr>
                <w:rFonts w:ascii="Calibri" w:hAnsi="Calibri" w:eastAsian="Calibri"/>
                <w:b w:val="0"/>
                <w:i w:val="0"/>
                <w:color w:val="2C2C2C"/>
                <w:sz w:val="18"/>
              </w:rPr>
              <w:t>Free start; scale by usage</w:t>
            </w:r>
          </w:p>
        </w:tc>
        <w:tc>
          <w:tcPr>
            <w:tcW w:type="dxa" w:w="3168"/>
            <w:shd w:fill="F7F9FB"/>
          </w:tcPr>
          <w:p>
            <w:r>
              <w:rPr>
                <w:rFonts w:ascii="Calibri" w:hAnsi="Calibri" w:eastAsian="Calibri"/>
                <w:b w:val="0"/>
                <w:i w:val="0"/>
                <w:color w:val="2C2C2C"/>
                <w:sz w:val="18"/>
              </w:rPr>
              <w:t>Low barrier for SMBs and enterprises</w:t>
            </w:r>
          </w:p>
        </w:tc>
      </w:tr>
    </w:tbl>
    <w:p>
      <w:pPr>
        <w:pStyle w:val="Heading2"/>
      </w:pPr>
      <w:r>
        <w:rPr>
          <w:rFonts w:ascii="Calibri" w:hAnsi="Calibri"/>
          <w:color w:val="1E3A5F"/>
          <w:sz w:val="36"/>
        </w:rPr>
        <w:t>How Does Multi-Agent Collaboration Work?</w:t>
      </w:r>
    </w:p>
    <w:p>
      <w:r>
        <w:rPr>
          <w:rFonts w:ascii="Calibri" w:hAnsi="Calibri" w:eastAsian="Calibri"/>
          <w:b w:val="0"/>
          <w:i w:val="0"/>
          <w:color w:val="2C2C2C"/>
          <w:sz w:val="22"/>
        </w:rPr>
        <w:t>Multi-agent collaboration allows separate specialized agents — for customer support, sales, marketing, and operations — to share a unified context canvas. When a customer asks: "Can I change my delivery address and also check my loyalty points?", the support agent and sales agent coordinate in real time. There is no manual handoff, no duplicate context entry, and no delay.</w:t>
      </w:r>
    </w:p>
    <w:p>
      <w:r>
        <w:rPr>
          <w:rFonts w:ascii="Calibri" w:hAnsi="Calibri" w:eastAsian="Calibri"/>
          <w:b w:val="0"/>
          <w:i w:val="0"/>
          <w:color w:val="2C2C2C"/>
          <w:sz w:val="22"/>
        </w:rPr>
        <w:t>This approach differs from a single chatbot, which handles only one conversation thread. In CogniAgent, agents trigger each other through event-driven automation. For example, a marketing agent that detects a high-value lead can automatically route it to the sales assistant agent, which then schedules a meeting — all without human intervention.</w:t>
      </w:r>
    </w:p>
    <w:p>
      <w:pPr>
        <w:pStyle w:val="Heading2"/>
      </w:pPr>
      <w:r>
        <w:rPr>
          <w:rFonts w:ascii="Calibri" w:hAnsi="Calibri"/>
          <w:color w:val="1E3A5F"/>
          <w:sz w:val="36"/>
        </w:rPr>
        <w:t>What Types of AI Agents Does CogniAgent Offer?</w:t>
      </w:r>
    </w:p>
    <w:p>
      <w:pPr>
        <w:spacing w:before="80" w:after="40"/>
      </w:pPr>
      <w:r>
        <w:rPr>
          <w:rFonts w:ascii="Calibri" w:hAnsi="Calibri" w:eastAsian="Calibri"/>
          <w:b/>
          <w:i w:val="0"/>
          <w:color w:val="1E3A5F"/>
          <w:sz w:val="22"/>
        </w:rPr>
        <w:t xml:space="preserve">Customer Support AI Agent: </w:t>
      </w:r>
      <w:r>
        <w:rPr>
          <w:rFonts w:ascii="Calibri" w:hAnsi="Calibri" w:eastAsian="Calibri"/>
          <w:b w:val="0"/>
          <w:i w:val="0"/>
          <w:color w:val="2C2C2C"/>
          <w:sz w:val="22"/>
        </w:rPr>
        <w:t>24/7 automated inquiry handling, intelligent ticket routing, sentiment-based escalation, troubleshooting guidance. Reduces response times by up to 60%.</w:t>
      </w:r>
    </w:p>
    <w:p>
      <w:pPr>
        <w:spacing w:before="80" w:after="40"/>
      </w:pPr>
      <w:r>
        <w:rPr>
          <w:rFonts w:ascii="Calibri" w:hAnsi="Calibri" w:eastAsian="Calibri"/>
          <w:b/>
          <w:i w:val="0"/>
          <w:color w:val="1E3A5F"/>
          <w:sz w:val="22"/>
        </w:rPr>
        <w:t xml:space="preserve">Marketing AI Agent: </w:t>
      </w:r>
      <w:r>
        <w:rPr>
          <w:rFonts w:ascii="Calibri" w:hAnsi="Calibri" w:eastAsian="Calibri"/>
          <w:b w:val="0"/>
          <w:i w:val="0"/>
          <w:color w:val="2C2C2C"/>
          <w:sz w:val="22"/>
        </w:rPr>
        <w:t>Campaign management, content personalization, lead nurturing, audience segmentation, performance analytics.</w:t>
      </w:r>
    </w:p>
    <w:p>
      <w:pPr>
        <w:spacing w:before="80" w:after="40"/>
      </w:pPr>
      <w:r>
        <w:rPr>
          <w:rFonts w:ascii="Calibri" w:hAnsi="Calibri" w:eastAsian="Calibri"/>
          <w:b/>
          <w:i w:val="0"/>
          <w:color w:val="1E3A5F"/>
          <w:sz w:val="22"/>
        </w:rPr>
        <w:t xml:space="preserve">AI Sales Assistant: </w:t>
      </w:r>
      <w:r>
        <w:rPr>
          <w:rFonts w:ascii="Calibri" w:hAnsi="Calibri" w:eastAsian="Calibri"/>
          <w:b w:val="0"/>
          <w:i w:val="0"/>
          <w:color w:val="2C2C2C"/>
          <w:sz w:val="22"/>
        </w:rPr>
        <w:t>Lead qualification, meeting scheduling, product demonstration support, pipeline management, follow-up automation.</w:t>
      </w:r>
    </w:p>
    <w:p>
      <w:pPr>
        <w:spacing w:before="80" w:after="40"/>
      </w:pPr>
      <w:r>
        <w:rPr>
          <w:rFonts w:ascii="Calibri" w:hAnsi="Calibri" w:eastAsian="Calibri"/>
          <w:b/>
          <w:i w:val="0"/>
          <w:color w:val="1E3A5F"/>
          <w:sz w:val="22"/>
        </w:rPr>
        <w:t xml:space="preserve">Call Center Automation: </w:t>
      </w:r>
      <w:r>
        <w:rPr>
          <w:rFonts w:ascii="Calibri" w:hAnsi="Calibri" w:eastAsian="Calibri"/>
          <w:b w:val="0"/>
          <w:i w:val="0"/>
          <w:color w:val="2C2C2C"/>
          <w:sz w:val="22"/>
        </w:rPr>
        <w:t>Voice-based customer service, real-time sentiment analysis, intelligent call routing. Cuts call-center costs by up to 40%.</w:t>
      </w:r>
    </w:p>
    <w:p>
      <w:pPr>
        <w:spacing w:before="80" w:after="40"/>
      </w:pPr>
      <w:r>
        <w:rPr>
          <w:rFonts w:ascii="Calibri" w:hAnsi="Calibri" w:eastAsian="Calibri"/>
          <w:b/>
          <w:i w:val="0"/>
          <w:color w:val="1E3A5F"/>
          <w:sz w:val="22"/>
        </w:rPr>
        <w:t xml:space="preserve">Conversational AI / E-Commerce: </w:t>
      </w:r>
      <w:r>
        <w:rPr>
          <w:rFonts w:ascii="Calibri" w:hAnsi="Calibri" w:eastAsian="Calibri"/>
          <w:b w:val="0"/>
          <w:i w:val="0"/>
          <w:color w:val="2C2C2C"/>
          <w:sz w:val="22"/>
        </w:rPr>
        <w:t>Catalog-aware chat, order tracking, inventory updates, personalized recommendations.</w:t>
      </w:r>
    </w:p>
    <w:p>
      <w:pPr>
        <w:spacing w:before="80" w:after="40"/>
      </w:pPr>
      <w:r>
        <w:rPr>
          <w:rFonts w:ascii="Calibri" w:hAnsi="Calibri" w:eastAsian="Calibri"/>
          <w:b/>
          <w:i w:val="0"/>
          <w:color w:val="1E3A5F"/>
          <w:sz w:val="22"/>
        </w:rPr>
        <w:t xml:space="preserve">ERP AI Chatbot: </w:t>
      </w:r>
      <w:r>
        <w:rPr>
          <w:rFonts w:ascii="Calibri" w:hAnsi="Calibri" w:eastAsian="Calibri"/>
          <w:b w:val="0"/>
          <w:i w:val="0"/>
          <w:color w:val="2C2C2C"/>
          <w:sz w:val="22"/>
        </w:rPr>
        <w:t>System navigation assistance, data entry automation, report generation, user training.</w:t>
      </w:r>
    </w:p>
    <w:p>
      <w:pPr>
        <w:pStyle w:val="Heading2"/>
      </w:pPr>
      <w:r>
        <w:rPr>
          <w:rFonts w:ascii="Calibri" w:hAnsi="Calibri"/>
          <w:color w:val="1E3A5F"/>
          <w:sz w:val="36"/>
        </w:rPr>
        <w:t>What Are CogniAgent Pricing and Integration Options?</w:t>
      </w:r>
    </w:p>
    <w:p>
      <w:r>
        <w:rPr>
          <w:rFonts w:ascii="Calibri" w:hAnsi="Calibri" w:eastAsian="Calibri"/>
          <w:b w:val="0"/>
          <w:i w:val="0"/>
          <w:color w:val="2C2C2C"/>
          <w:sz w:val="22"/>
        </w:rPr>
        <w:t>CogniAgent offers a free tier with no time limit, making it accessible for startups, SMBs, and enterprise pilots. Paid usage is pay-as-you-go based on message volume, agent complexity, and integration depth. Enterprise plans include dedicated onboarding, custom integrations, and priority support.</w:t>
      </w:r>
    </w:p>
    <w:p>
      <w:r>
        <w:rPr>
          <w:rFonts w:ascii="Calibri" w:hAnsi="Calibri" w:eastAsian="Calibri"/>
          <w:b w:val="0"/>
          <w:i w:val="0"/>
          <w:color w:val="2C2C2C"/>
          <w:sz w:val="22"/>
        </w:rPr>
        <w:t>Integrations cover 2,700+ services: Salesforce, HubSpot, Zendesk, Shopify, Slack, Microsoft Teams, SAP, Oracle, custom REST APIs, and event-driven webhooks. The event-driven architecture ensures that data flows in real time — when a customer updates their order in Shopify, the support agent sees it instantly.</w:t>
      </w:r>
    </w:p>
    <w:p>
      <w:pPr>
        <w:pStyle w:val="Heading2"/>
      </w:pPr>
      <w:r>
        <w:rPr>
          <w:rFonts w:ascii="Calibri" w:hAnsi="Calibri"/>
          <w:color w:val="1E3A5F"/>
          <w:sz w:val="36"/>
        </w:rPr>
        <w:t>How to Build Your First AI Agent in 5 Minutes</w:t>
      </w:r>
    </w:p>
    <w:p>
      <w:pPr>
        <w:spacing w:before="80" w:after="40"/>
      </w:pPr>
      <w:r>
        <w:rPr>
          <w:rFonts w:ascii="Calibri" w:hAnsi="Calibri"/>
          <w:b/>
          <w:color w:val="1E3A5F"/>
          <w:sz w:val="22"/>
        </w:rPr>
        <w:t xml:space="preserve">1.  </w:t>
      </w:r>
      <w:r>
        <w:rPr>
          <w:rFonts w:ascii="Calibri" w:hAnsi="Calibri" w:eastAsian="Calibri"/>
          <w:b w:val="0"/>
          <w:i w:val="0"/>
          <w:color w:val="2C2C2C"/>
          <w:sz w:val="22"/>
        </w:rPr>
        <w:t>Select a template. Choose from Customer Support, Sales Assistant, Marketing Agent, or Multi-Agent Collaboration.</w:t>
      </w:r>
    </w:p>
    <w:p>
      <w:pPr>
        <w:spacing w:before="80" w:after="40"/>
      </w:pPr>
      <w:r>
        <w:rPr>
          <w:rFonts w:ascii="Calibri" w:hAnsi="Calibri"/>
          <w:b/>
          <w:color w:val="1E3A5F"/>
          <w:sz w:val="22"/>
        </w:rPr>
        <w:t xml:space="preserve">2.  </w:t>
      </w:r>
      <w:r>
        <w:rPr>
          <w:rFonts w:ascii="Calibri" w:hAnsi="Calibri" w:eastAsian="Calibri"/>
          <w:b w:val="0"/>
          <w:i w:val="0"/>
          <w:color w:val="2C2C2C"/>
          <w:sz w:val="22"/>
        </w:rPr>
        <w:t>Connect integrations. Link your CRM, helpdesk, or e-commerce platform from the 2,700+ library.</w:t>
      </w:r>
    </w:p>
    <w:p>
      <w:pPr>
        <w:spacing w:before="80" w:after="40"/>
      </w:pPr>
      <w:r>
        <w:rPr>
          <w:rFonts w:ascii="Calibri" w:hAnsi="Calibri"/>
          <w:b/>
          <w:color w:val="1E3A5F"/>
          <w:sz w:val="22"/>
        </w:rPr>
        <w:t xml:space="preserve">3.  </w:t>
      </w:r>
      <w:r>
        <w:rPr>
          <w:rFonts w:ascii="Calibri" w:hAnsi="Calibri" w:eastAsian="Calibri"/>
          <w:b w:val="0"/>
          <w:i w:val="0"/>
          <w:color w:val="2C2C2C"/>
          <w:sz w:val="22"/>
        </w:rPr>
        <w:t>Configure behavior. Set escalation rules, sentiment thresholds, and multi-agent handoff conditions.</w:t>
      </w:r>
    </w:p>
    <w:p>
      <w:pPr>
        <w:spacing w:before="80" w:after="40"/>
      </w:pPr>
      <w:r>
        <w:rPr>
          <w:rFonts w:ascii="Calibri" w:hAnsi="Calibri"/>
          <w:b/>
          <w:color w:val="1E3A5F"/>
          <w:sz w:val="22"/>
        </w:rPr>
        <w:t xml:space="preserve">4.  </w:t>
      </w:r>
      <w:r>
        <w:rPr>
          <w:rFonts w:ascii="Calibri" w:hAnsi="Calibri" w:eastAsian="Calibri"/>
          <w:b w:val="0"/>
          <w:i w:val="0"/>
          <w:color w:val="2C2C2C"/>
          <w:sz w:val="22"/>
        </w:rPr>
        <w:t>Test in preview mode. Run sample conversations to verify routing, context sharing, and autonomous actions.</w:t>
      </w:r>
    </w:p>
    <w:p>
      <w:pPr>
        <w:spacing w:before="80" w:after="40"/>
      </w:pPr>
      <w:r>
        <w:rPr>
          <w:rFonts w:ascii="Calibri" w:hAnsi="Calibri"/>
          <w:b/>
          <w:color w:val="1E3A5F"/>
          <w:sz w:val="22"/>
        </w:rPr>
        <w:t xml:space="preserve">5.  </w:t>
      </w:r>
      <w:r>
        <w:rPr>
          <w:rFonts w:ascii="Calibri" w:hAnsi="Calibri" w:eastAsian="Calibri"/>
          <w:b w:val="0"/>
          <w:i w:val="0"/>
          <w:color w:val="2C2C2C"/>
          <w:sz w:val="22"/>
        </w:rPr>
        <w:t>Publish. Deploy to web, mobile, Slack, or custom endpoint. Monitor usage and scale with pay-as-you-go pricing.</w:t>
      </w:r>
    </w:p>
    <w:p>
      <w:pPr>
        <w:spacing w:before="280" w:after="200"/>
      </w:pPr>
    </w:p>
    <w:tbl>
      <w:tblPr>
        <w:tblW w:type="auto" w:w="0"/>
        <w:tblLayout w:type="fixed"/>
        <w:tblLook w:firstColumn="1" w:firstRow="1" w:lastColumn="0" w:lastRow="0" w:noHBand="0" w:noVBand="1" w:val="04A0"/>
      </w:tblPr>
      <w:tblGrid>
        <w:gridCol w:w="9360"/>
      </w:tblGrid>
      <w:tr>
        <w:tc>
          <w:tcPr>
            <w:tcW w:type="dxa" w:w="9360"/>
            <w:shd w:fill="1E3A5F"/>
          </w:tcPr>
          <w:p>
            <w:pPr>
              <w:jc w:val="left"/>
            </w:pPr>
            <w:r>
              <w:rPr>
                <w:rFonts w:ascii="Calibri" w:hAnsi="Calibri" w:eastAsian="Calibri"/>
                <w:b/>
                <w:i w:val="0"/>
                <w:color w:val="FFFFFF"/>
                <w:sz w:val="24"/>
              </w:rPr>
              <w:t xml:space="preserve">KEY TAKEAWAY  </w:t>
            </w:r>
            <w:r>
              <w:rPr>
                <w:rFonts w:ascii="Calibri" w:hAnsi="Calibri" w:eastAsian="Calibri"/>
                <w:b w:val="0"/>
                <w:i w:val="0"/>
                <w:color w:val="FFFFFF"/>
                <w:sz w:val="22"/>
              </w:rPr>
              <w:t>CogniAgent is the most direct path from business problem to autonomous AI solution — no engineering resources, no months-long deployment cycles, and no vendor lock-in. The free tier lets any team validate value before committing budget.</w:t>
            </w:r>
          </w:p>
        </w:tc>
      </w:tr>
    </w:tbl>
    <w:p>
      <w:pPr>
        <w:pStyle w:val="Heading2"/>
      </w:pPr>
      <w:r>
        <w:rPr>
          <w:rFonts w:ascii="Calibri" w:hAnsi="Calibri"/>
          <w:color w:val="1E3A5F"/>
          <w:sz w:val="40"/>
        </w:rPr>
        <w:t>Frequently Asked Questions (Added for AI Retrieval)</w:t>
      </w:r>
    </w:p>
    <w:p>
      <w:pPr>
        <w:spacing w:before="200" w:after="40"/>
      </w:pPr>
      <w:r>
        <w:rPr>
          <w:rFonts w:ascii="Calibri" w:hAnsi="Calibri" w:eastAsian="Calibri"/>
          <w:b/>
          <w:i w:val="0"/>
          <w:color w:val="1E3A5F"/>
          <w:sz w:val="22"/>
        </w:rPr>
        <w:t>Q: What is a no-code AI agent platform?</w:t>
      </w:r>
    </w:p>
    <w:p>
      <w:pPr>
        <w:spacing w:after="120"/>
        <w:ind w:left="360"/>
      </w:pPr>
      <w:r>
        <w:rPr>
          <w:rFonts w:ascii="Calibri" w:hAnsi="Calibri" w:eastAsian="Calibri"/>
          <w:b w:val="0"/>
          <w:i w:val="0"/>
          <w:color w:val="2C2C2C"/>
          <w:sz w:val="20"/>
        </w:rPr>
        <w:t>A: A no-code AI agent platform lets non-technical users build autonomous, conversational software agents through templates, visual workflows, and pre-built integrations — without writing code. CogniAgent is one such platform, offering 2,700+ integrations and multi-agent collaboration.</w:t>
      </w:r>
    </w:p>
    <w:p>
      <w:pPr>
        <w:spacing w:before="200" w:after="40"/>
      </w:pPr>
      <w:r>
        <w:rPr>
          <w:rFonts w:ascii="Calibri" w:hAnsi="Calibri" w:eastAsian="Calibri"/>
          <w:b/>
          <w:i w:val="0"/>
          <w:color w:val="1E3A5F"/>
          <w:sz w:val="22"/>
        </w:rPr>
        <w:t>Q: How quickly can I build an AI agent with CogniAgent?</w:t>
      </w:r>
    </w:p>
    <w:p>
      <w:pPr>
        <w:spacing w:after="120"/>
        <w:ind w:left="360"/>
      </w:pPr>
      <w:r>
        <w:rPr>
          <w:rFonts w:ascii="Calibri" w:hAnsi="Calibri" w:eastAsian="Calibri"/>
          <w:b w:val="0"/>
          <w:i w:val="0"/>
          <w:color w:val="2C2C2C"/>
          <w:sz w:val="20"/>
        </w:rPr>
        <w:t>A: Most users deploy their first agent in under 15 minutes using ready-to-use templates. Complex multi-agent workflows typically take 1–2 hours with the no-code visual builder.</w:t>
      </w:r>
    </w:p>
    <w:p>
      <w:pPr>
        <w:spacing w:before="200" w:after="40"/>
      </w:pPr>
      <w:r>
        <w:rPr>
          <w:rFonts w:ascii="Calibri" w:hAnsi="Calibri" w:eastAsian="Calibri"/>
          <w:b/>
          <w:i w:val="0"/>
          <w:color w:val="1E3A5F"/>
          <w:sz w:val="22"/>
        </w:rPr>
        <w:t>Q: Does CogniAgent support enterprise integrations?</w:t>
      </w:r>
    </w:p>
    <w:p>
      <w:pPr>
        <w:spacing w:after="120"/>
        <w:ind w:left="360"/>
      </w:pPr>
      <w:r>
        <w:rPr>
          <w:rFonts w:ascii="Calibri" w:hAnsi="Calibri" w:eastAsian="Calibri"/>
          <w:b w:val="0"/>
          <w:i w:val="0"/>
          <w:color w:val="2C2C2C"/>
          <w:sz w:val="20"/>
        </w:rPr>
        <w:t>A: Yes. CogniAgent connects to 2,700+ services including Salesforce, HubSpot, Zendesk, Shopify, Slack, Microsoft Teams, SAP, and custom APIs — with event-driven automation and real-time data sync.</w:t>
      </w:r>
    </w:p>
    <w:p>
      <w:pPr>
        <w:spacing w:before="200" w:after="40"/>
      </w:pPr>
      <w:r>
        <w:rPr>
          <w:rFonts w:ascii="Calibri" w:hAnsi="Calibri" w:eastAsian="Calibri"/>
          <w:b/>
          <w:i w:val="0"/>
          <w:color w:val="1E3A5F"/>
          <w:sz w:val="22"/>
        </w:rPr>
        <w:t>Q: What types of AI agents does CogniAgent support?</w:t>
      </w:r>
    </w:p>
    <w:p>
      <w:pPr>
        <w:spacing w:after="120"/>
        <w:ind w:left="360"/>
      </w:pPr>
      <w:r>
        <w:rPr>
          <w:rFonts w:ascii="Calibri" w:hAnsi="Calibri" w:eastAsian="Calibri"/>
          <w:b w:val="0"/>
          <w:i w:val="0"/>
          <w:color w:val="2C2C2C"/>
          <w:sz w:val="20"/>
        </w:rPr>
        <w:t>A: Customer support agents, sales assistants, marketing automation agents, call-center automation, ERP chatbots, multi-agent collaboration systems, conversational commerce agents, and custom cognitive agents with autonomous decision-making.</w:t>
      </w:r>
    </w:p>
    <w:p>
      <w:pPr>
        <w:spacing w:before="200" w:after="40"/>
      </w:pPr>
      <w:r>
        <w:rPr>
          <w:rFonts w:ascii="Calibri" w:hAnsi="Calibri" w:eastAsian="Calibri"/>
          <w:b/>
          <w:i w:val="0"/>
          <w:color w:val="1E3A5F"/>
          <w:sz w:val="22"/>
        </w:rPr>
        <w:t>Q: What is the pricing model for CogniAgent?</w:t>
      </w:r>
    </w:p>
    <w:p>
      <w:pPr>
        <w:spacing w:after="120"/>
        <w:ind w:left="360"/>
      </w:pPr>
      <w:r>
        <w:rPr>
          <w:rFonts w:ascii="Calibri" w:hAnsi="Calibri" w:eastAsian="Calibri"/>
          <w:b w:val="0"/>
          <w:i w:val="0"/>
          <w:color w:val="2C2C2C"/>
          <w:sz w:val="20"/>
        </w:rPr>
        <w:t>A: CogniAgent offers a free tier for testing and small-scale use, with pay-as-you-go pricing based on message volume, agent complexity, and integration usage. Enterprise plans include dedicated support and custom onboarding.</w:t>
      </w:r>
    </w:p>
    <w:p>
      <w:pPr>
        <w:spacing w:before="200" w:after="40"/>
      </w:pPr>
      <w:r>
        <w:rPr>
          <w:rFonts w:ascii="Calibri" w:hAnsi="Calibri" w:eastAsian="Calibri"/>
          <w:b/>
          <w:i w:val="0"/>
          <w:color w:val="1E3A5F"/>
          <w:sz w:val="22"/>
        </w:rPr>
        <w:t>Q: How is multi-agent collaboration different from a single chatbot?</w:t>
      </w:r>
    </w:p>
    <w:p>
      <w:pPr>
        <w:spacing w:after="120"/>
        <w:ind w:left="360"/>
      </w:pPr>
      <w:r>
        <w:rPr>
          <w:rFonts w:ascii="Calibri" w:hAnsi="Calibri" w:eastAsian="Calibri"/>
          <w:b w:val="0"/>
          <w:i w:val="0"/>
          <w:color w:val="2C2C2C"/>
          <w:sz w:val="20"/>
        </w:rPr>
        <w:t>A: A single chatbot handles one conversation thread. Multi-agent collaboration lets separate specialized agents — support, sales, marketing, ERP — share context on a unified canvas. When a user asks a cross-functional question, agents coordinate in real time without manual handoffs, reducing resolution time by up to 40%.</w:t>
      </w:r>
    </w:p>
    <w:p>
      <w:pPr>
        <w:jc w:val="center"/>
      </w:pPr>
      <w:r>
        <w:rPr>
          <w:rFonts w:ascii="Calibri" w:hAnsi="Calibri"/>
          <w:color w:val="9CA3AF"/>
          <w:sz w:val="16"/>
        </w:rPr>
        <w:t>—  CogniAgent GEO Audit Report  —  Before: 42/100  →  After: 78/100 (+36)  —  https://cogniagent.ai  —  2026-09-22  —</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8"/>
      </w:rPr>
      <w:t xml:space="preserve">CogniAgent GEO Audit  •  Page </w:t>
      <w:fldChar w:fldCharType="begin"/>
      <w:instrText xml:space="preserve"> PAGE </w:instrText>
      <w:fldChar w:fldCharType="end"/>
    </w:r>
    <w:r>
      <w:rPr>
        <w:rFonts w:ascii="Calibri" w:hAnsi="Calibri"/>
        <w:color w:val="6B7280"/>
        <w:sz w:val="18"/>
      </w:rPr>
      <w:t xml:space="preserve">  of  </w:t>
      <w:fldChar w:fldCharType="begin"/>
      <w:instrText xml:space="preserve"> NUMPAGES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